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tabs>
                <w:tab w:val="left" w:pos="-9"/>
              </w:tabs>
              <w:spacing w:after="200" w:before="100" w:lineRule="auto"/>
              <w:ind w:left="0" w:firstLine="0"/>
              <w:jc w:val="left"/>
              <w:rPr>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tabs>
                <w:tab w:val="left" w:pos="-9"/>
              </w:tabs>
              <w:spacing w:before="240" w:lineRule="auto"/>
              <w:ind w:left="0" w:firstLine="0"/>
              <w:jc w:val="left"/>
              <w:rPr>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ind w:left="170" w:hanging="170"/>
              <w:jc w:val="left"/>
              <w:rPr>
                <w:sz w:val="24"/>
                <w:szCs w:val="24"/>
              </w:rPr>
            </w:pPr>
            <w:r w:rsidDel="00000000" w:rsidR="00000000" w:rsidRPr="00000000">
              <w:rPr>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sz w:val="24"/>
                <w:szCs w:val="24"/>
                <w:rtl w:val="0"/>
              </w:rPr>
              <w:t xml:space="preserve">   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b w:val="1"/>
                <w:sz w:val="24"/>
                <w:szCs w:val="24"/>
                <w:rtl w:val="0"/>
              </w:rPr>
              <w:t xml:space="preserve">Controls</w:t>
            </w:r>
            <w:r w:rsidDel="00000000" w:rsidR="00000000" w:rsidRPr="00000000">
              <w:rPr>
                <w:sz w:val="24"/>
                <w:szCs w:val="24"/>
                <w:rtl w:val="0"/>
              </w:rPr>
              <w:t xml:space="preserve">” and “</w:t>
            </w:r>
            <w:r w:rsidDel="00000000" w:rsidR="00000000" w:rsidRPr="00000000">
              <w:rPr>
                <w:b w:val="1"/>
                <w:sz w:val="24"/>
                <w:szCs w:val="24"/>
                <w:rtl w:val="0"/>
              </w:rPr>
              <w:t xml:space="preserve">Controlled</w:t>
            </w:r>
            <w:r w:rsidDel="00000000" w:rsidR="00000000" w:rsidRPr="00000000">
              <w:rPr>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tabs>
                <w:tab w:val="left" w:pos="-9"/>
              </w:tabs>
              <w:spacing w:after="200" w:before="100" w:lineRule="auto"/>
              <w:ind w:left="0" w:firstLine="0"/>
              <w:jc w:val="left"/>
              <w:rPr>
                <w:sz w:val="24"/>
                <w:szCs w:val="24"/>
              </w:rPr>
            </w:pPr>
            <w:r w:rsidDel="00000000" w:rsidR="00000000" w:rsidRPr="00000000">
              <w:rPr>
                <w:sz w:val="24"/>
                <w:szCs w:val="24"/>
                <w:rtl w:val="0"/>
              </w:rPr>
              <w:t xml:space="preserve">means:</w:t>
            </w:r>
          </w:p>
          <w:p w:rsidR="00000000" w:rsidDel="00000000" w:rsidP="00000000" w:rsidRDefault="00000000" w:rsidRPr="00000000" w14:paraId="00000017">
            <w:pPr>
              <w:tabs>
                <w:tab w:val="left" w:pos="-9"/>
              </w:tabs>
              <w:spacing w:after="200" w:before="100" w:lineRule="auto"/>
              <w:ind w:left="0" w:firstLine="0"/>
              <w:jc w:val="left"/>
              <w:rPr>
                <w:sz w:val="24"/>
                <w:szCs w:val="24"/>
              </w:rPr>
            </w:pPr>
            <w:r w:rsidDel="00000000" w:rsidR="00000000" w:rsidRPr="00000000">
              <w:rPr>
                <w:sz w:val="24"/>
                <w:szCs w:val="24"/>
                <w:rtl w:val="0"/>
              </w:rPr>
              <w:t xml:space="preserve">(a)</w:t>
            </w:r>
            <w:r w:rsidDel="00000000" w:rsidR="00000000" w:rsidRPr="00000000">
              <w:rPr>
                <w:sz w:val="14"/>
                <w:szCs w:val="14"/>
                <w:rtl w:val="0"/>
              </w:rPr>
              <w:t xml:space="preserve">           </w:t>
            </w:r>
            <w:r w:rsidDel="00000000" w:rsidR="00000000" w:rsidRPr="00000000">
              <w:rPr>
                <w:sz w:val="24"/>
                <w:szCs w:val="24"/>
                <w:rtl w:val="0"/>
              </w:rPr>
              <w:t xml:space="preserve">any change of Control of the Supplier or a Parent Undertaking of the Supplier;</w:t>
            </w:r>
          </w:p>
          <w:p w:rsidR="00000000" w:rsidDel="00000000" w:rsidP="00000000" w:rsidRDefault="00000000" w:rsidRPr="00000000" w14:paraId="00000018">
            <w:pPr>
              <w:tabs>
                <w:tab w:val="left" w:pos="-9"/>
              </w:tabs>
              <w:spacing w:after="200" w:before="100" w:lineRule="auto"/>
              <w:ind w:left="0" w:firstLine="0"/>
              <w:jc w:val="left"/>
              <w:rPr>
                <w:sz w:val="24"/>
                <w:szCs w:val="24"/>
              </w:rPr>
            </w:pPr>
            <w:r w:rsidDel="00000000" w:rsidR="00000000" w:rsidRPr="00000000">
              <w:rPr>
                <w:sz w:val="24"/>
                <w:szCs w:val="24"/>
                <w:rtl w:val="0"/>
              </w:rPr>
              <w:t xml:space="preserve">(b)</w:t>
            </w:r>
            <w:r w:rsidDel="00000000" w:rsidR="00000000" w:rsidRPr="00000000">
              <w:rPr>
                <w:sz w:val="14"/>
                <w:szCs w:val="14"/>
                <w:rtl w:val="0"/>
              </w:rPr>
              <w:t xml:space="preserve">           </w:t>
            </w:r>
            <w:r w:rsidDel="00000000" w:rsidR="00000000" w:rsidRPr="00000000">
              <w:rPr>
                <w:sz w:val="24"/>
                <w:szCs w:val="24"/>
                <w:rtl w:val="0"/>
              </w:rPr>
              <w:t xml:space="preserve">any change of Control of any member of the Supplier Group which, in the reasonable opinion of the Buyer, could have a material adverse effect on the Deliverables;</w:t>
            </w:r>
          </w:p>
          <w:p w:rsidR="00000000" w:rsidDel="00000000" w:rsidP="00000000" w:rsidRDefault="00000000" w:rsidRPr="00000000" w14:paraId="00000019">
            <w:pPr>
              <w:tabs>
                <w:tab w:val="left" w:pos="-9"/>
              </w:tabs>
              <w:spacing w:after="200" w:before="100" w:lineRule="auto"/>
              <w:ind w:left="0" w:firstLine="0"/>
              <w:jc w:val="left"/>
              <w:rPr>
                <w:sz w:val="24"/>
                <w:szCs w:val="24"/>
              </w:rPr>
            </w:pPr>
            <w:r w:rsidDel="00000000" w:rsidR="00000000" w:rsidRPr="00000000">
              <w:rPr>
                <w:sz w:val="24"/>
                <w:szCs w:val="24"/>
                <w:rtl w:val="0"/>
              </w:rPr>
              <w:t xml:space="preserve">(c)</w:t>
            </w:r>
            <w:r w:rsidDel="00000000" w:rsidR="00000000" w:rsidRPr="00000000">
              <w:rPr>
                <w:sz w:val="14"/>
                <w:szCs w:val="14"/>
                <w:rtl w:val="0"/>
              </w:rPr>
              <w:t xml:space="preserve">           </w:t>
            </w:r>
            <w:r w:rsidDel="00000000" w:rsidR="00000000" w:rsidRPr="00000000">
              <w:rPr>
                <w:sz w:val="24"/>
                <w:szCs w:val="24"/>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tabs>
                <w:tab w:val="left" w:pos="-9"/>
              </w:tabs>
              <w:spacing w:after="200" w:before="100" w:lineRule="auto"/>
              <w:ind w:left="0" w:firstLine="0"/>
              <w:jc w:val="left"/>
              <w:rPr>
                <w:sz w:val="24"/>
                <w:szCs w:val="24"/>
              </w:rPr>
            </w:pPr>
            <w:r w:rsidDel="00000000" w:rsidR="00000000" w:rsidRPr="00000000">
              <w:rPr>
                <w:sz w:val="24"/>
                <w:szCs w:val="24"/>
                <w:rtl w:val="0"/>
              </w:rPr>
              <w:t xml:space="preserve">(d)</w:t>
            </w:r>
            <w:r w:rsidDel="00000000" w:rsidR="00000000" w:rsidRPr="00000000">
              <w:rPr>
                <w:sz w:val="14"/>
                <w:szCs w:val="14"/>
                <w:rtl w:val="0"/>
              </w:rPr>
              <w:t xml:space="preserve">           </w:t>
            </w:r>
            <w:r w:rsidDel="00000000" w:rsidR="00000000" w:rsidRPr="00000000">
              <w:rPr>
                <w:sz w:val="24"/>
                <w:szCs w:val="24"/>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tabs>
                <w:tab w:val="left" w:pos="-9"/>
              </w:tabs>
              <w:spacing w:after="200" w:before="100" w:lineRule="auto"/>
              <w:ind w:left="0" w:firstLine="0"/>
              <w:jc w:val="left"/>
              <w:rPr>
                <w:sz w:val="24"/>
                <w:szCs w:val="24"/>
              </w:rPr>
            </w:pPr>
            <w:r w:rsidDel="00000000" w:rsidR="00000000" w:rsidRPr="00000000">
              <w:rPr>
                <w:sz w:val="24"/>
                <w:szCs w:val="24"/>
                <w:rtl w:val="0"/>
              </w:rPr>
              <w:t xml:space="preserve">(e)</w:t>
            </w:r>
            <w:r w:rsidDel="00000000" w:rsidR="00000000" w:rsidRPr="00000000">
              <w:rPr>
                <w:sz w:val="14"/>
                <w:szCs w:val="14"/>
                <w:rtl w:val="0"/>
              </w:rPr>
              <w:t xml:space="preserve">           </w:t>
            </w:r>
            <w:r w:rsidDel="00000000" w:rsidR="00000000" w:rsidRPr="00000000">
              <w:rPr>
                <w:sz w:val="24"/>
                <w:szCs w:val="24"/>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tabs>
                <w:tab w:val="left" w:pos="-9"/>
              </w:tabs>
              <w:spacing w:after="200" w:before="100" w:lineRule="auto"/>
              <w:ind w:left="0" w:firstLine="0"/>
              <w:jc w:val="left"/>
              <w:rPr>
                <w:sz w:val="24"/>
                <w:szCs w:val="24"/>
              </w:rPr>
            </w:pPr>
            <w:r w:rsidDel="00000000" w:rsidR="00000000" w:rsidRPr="00000000">
              <w:rPr>
                <w:sz w:val="24"/>
                <w:szCs w:val="24"/>
                <w:rtl w:val="0"/>
              </w:rPr>
              <w:t xml:space="preserve">(f)</w:t>
            </w:r>
            <w:r w:rsidDel="00000000" w:rsidR="00000000" w:rsidRPr="00000000">
              <w:rPr>
                <w:sz w:val="14"/>
                <w:szCs w:val="14"/>
                <w:rtl w:val="0"/>
              </w:rPr>
              <w:t xml:space="preserve">             </w:t>
            </w:r>
            <w:r w:rsidDel="00000000" w:rsidR="00000000" w:rsidRPr="00000000">
              <w:rPr>
                <w:sz w:val="24"/>
                <w:szCs w:val="24"/>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tabs>
                <w:tab w:val="left" w:pos="-9"/>
              </w:tabs>
              <w:spacing w:after="200" w:before="100" w:lineRule="auto"/>
              <w:ind w:left="0" w:firstLine="0"/>
              <w:jc w:val="left"/>
              <w:rPr>
                <w:sz w:val="24"/>
                <w:szCs w:val="24"/>
              </w:rPr>
            </w:pPr>
            <w:r w:rsidDel="00000000" w:rsidR="00000000" w:rsidRPr="00000000">
              <w:rPr>
                <w:sz w:val="24"/>
                <w:szCs w:val="24"/>
                <w:rtl w:val="0"/>
              </w:rPr>
              <w:t xml:space="preserve">(g)</w:t>
            </w:r>
            <w:r w:rsidDel="00000000" w:rsidR="00000000" w:rsidRPr="00000000">
              <w:rPr>
                <w:sz w:val="14"/>
                <w:szCs w:val="14"/>
                <w:rtl w:val="0"/>
              </w:rPr>
              <w:t xml:space="preserve">           </w:t>
            </w:r>
            <w:r w:rsidDel="00000000" w:rsidR="00000000" w:rsidRPr="00000000">
              <w:rPr>
                <w:sz w:val="24"/>
                <w:szCs w:val="24"/>
                <w:rtl w:val="0"/>
              </w:rPr>
              <w:t xml:space="preserve">an order is made or an effective resolution is passed for the winding up of any member of the Supplier Group;</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9"/>
              </w:tabs>
              <w:spacing w:after="120" w:lineRule="auto"/>
              <w:ind w:left="170" w:hanging="170"/>
              <w:jc w:val="left"/>
              <w:rPr>
                <w:sz w:val="24"/>
                <w:szCs w:val="24"/>
              </w:rPr>
            </w:pPr>
            <w:r w:rsidDel="00000000" w:rsidR="00000000" w:rsidRPr="00000000">
              <w:rPr>
                <w:sz w:val="24"/>
                <w:szCs w:val="24"/>
                <w:rtl w:val="0"/>
              </w:rPr>
              <w:t xml:space="preserve">(h) 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tabs>
                <w:tab w:val="left" w:pos="-9"/>
              </w:tabs>
              <w:spacing w:after="200" w:before="100" w:lineRule="auto"/>
              <w:ind w:left="0" w:firstLine="0"/>
              <w:jc w:val="left"/>
              <w:rPr>
                <w:sz w:val="24"/>
                <w:szCs w:val="24"/>
              </w:rPr>
            </w:pPr>
            <w:r w:rsidDel="00000000" w:rsidR="00000000" w:rsidRPr="00000000">
              <w:rPr>
                <w:sz w:val="24"/>
                <w:szCs w:val="24"/>
                <w:rtl w:val="0"/>
              </w:rPr>
              <w:t xml:space="preserve">(i)</w:t>
            </w:r>
            <w:r w:rsidDel="00000000" w:rsidR="00000000" w:rsidRPr="00000000">
              <w:rPr>
                <w:sz w:val="14"/>
                <w:szCs w:val="14"/>
                <w:rtl w:val="0"/>
              </w:rPr>
              <w:t xml:space="preserve">           </w:t>
            </w:r>
            <w:r w:rsidDel="00000000" w:rsidR="00000000" w:rsidRPr="00000000">
              <w:rPr>
                <w:sz w:val="24"/>
                <w:szCs w:val="24"/>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9"/>
              </w:tabs>
              <w:spacing w:after="120" w:lineRule="auto"/>
              <w:ind w:left="170" w:hanging="170"/>
              <w:jc w:val="left"/>
              <w:rPr>
                <w:sz w:val="24"/>
                <w:szCs w:val="24"/>
              </w:rPr>
            </w:pPr>
            <w:r w:rsidDel="00000000" w:rsidR="00000000" w:rsidRPr="00000000">
              <w:rPr>
                <w:sz w:val="24"/>
                <w:szCs w:val="24"/>
                <w:rtl w:val="0"/>
              </w:rPr>
              <w:t xml:space="preserve">(j) any process or events with an effect analogous to those in paragraphs (e) to (g) inclusive above occurring to a member of the Supplier Group in a jurisdiction outside England and Wales;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9"/>
              </w:tabs>
              <w:spacing w:after="120" w:lineRule="auto"/>
              <w:ind w:left="170" w:hanging="17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“Critical National Infrastructure”</w:t>
            </w:r>
          </w:p>
        </w:tc>
        <w:tc>
          <w:tcPr/>
          <w:p w:rsidR="00000000" w:rsidDel="00000000" w:rsidP="00000000" w:rsidRDefault="00000000" w:rsidRPr="00000000" w14:paraId="00000023">
            <w:pPr>
              <w:tabs>
                <w:tab w:val="left" w:pos="-9"/>
              </w:tabs>
              <w:spacing w:after="200" w:before="100" w:lineRule="auto"/>
              <w:ind w:left="0" w:firstLine="0"/>
              <w:jc w:val="left"/>
              <w:rPr>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4">
            <w:pPr>
              <w:tabs>
                <w:tab w:val="left" w:pos="-9"/>
              </w:tabs>
              <w:spacing w:before="240" w:lineRule="auto"/>
              <w:ind w:left="0" w:firstLine="0"/>
              <w:jc w:val="left"/>
              <w:rPr>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w:t>
            </w:r>
          </w:p>
          <w:p w:rsidR="00000000" w:rsidDel="00000000" w:rsidP="00000000" w:rsidRDefault="00000000" w:rsidRPr="00000000" w14:paraId="00000025">
            <w:pPr>
              <w:tabs>
                <w:tab w:val="left" w:pos="-9"/>
              </w:tabs>
              <w:spacing w:before="240" w:lineRule="auto"/>
              <w:ind w:left="0" w:firstLine="0"/>
              <w:jc w:val="left"/>
              <w:rPr>
                <w:sz w:val="24"/>
                <w:szCs w:val="24"/>
              </w:rPr>
            </w:pPr>
            <w:r w:rsidDel="00000000" w:rsidR="00000000" w:rsidRPr="00000000">
              <w:rPr>
                <w:sz w:val="24"/>
                <w:szCs w:val="24"/>
                <w:rtl w:val="0"/>
              </w:rPr>
              <w:t xml:space="preserve">and/or significant impact on the national security, national defence, or the functioning of the UK;</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“Critical Service Contract”</w:t>
            </w:r>
          </w:p>
        </w:tc>
        <w:tc>
          <w:tcPr/>
          <w:p w:rsidR="00000000" w:rsidDel="00000000" w:rsidP="00000000" w:rsidRDefault="00000000" w:rsidRPr="00000000" w14:paraId="00000027">
            <w:pPr>
              <w:tabs>
                <w:tab w:val="left" w:pos="-9"/>
              </w:tabs>
              <w:spacing w:after="200" w:before="100" w:lineRule="auto"/>
              <w:ind w:left="0" w:firstLine="0"/>
              <w:jc w:val="left"/>
              <w:rPr>
                <w:sz w:val="24"/>
                <w:szCs w:val="24"/>
              </w:rPr>
            </w:pPr>
            <w:r w:rsidDel="00000000" w:rsidR="00000000" w:rsidRPr="00000000">
              <w:rPr>
                <w:sz w:val="24"/>
                <w:szCs w:val="24"/>
                <w:rtl w:val="0"/>
              </w:rPr>
              <w:t xml:space="preserve">a service contract which the Buyer has categorised as a Gold Contract using the Cabinet Office Contract Tiering Tool or which the Buyer otherwise considers should be classed as a Critical Service Contract;</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“CRP Information”</w:t>
            </w:r>
          </w:p>
        </w:tc>
        <w:tc>
          <w:tcPr/>
          <w:p w:rsidR="00000000" w:rsidDel="00000000" w:rsidP="00000000" w:rsidRDefault="00000000" w:rsidRPr="00000000" w14:paraId="00000029">
            <w:pPr>
              <w:tabs>
                <w:tab w:val="left" w:pos="-9"/>
              </w:tabs>
              <w:spacing w:after="200" w:before="100" w:lineRule="auto"/>
              <w:ind w:left="0" w:firstLine="0"/>
              <w:jc w:val="left"/>
              <w:rPr>
                <w:sz w:val="24"/>
                <w:szCs w:val="24"/>
              </w:rPr>
            </w:pPr>
            <w:r w:rsidDel="00000000" w:rsidR="00000000" w:rsidRPr="00000000">
              <w:rPr>
                <w:sz w:val="24"/>
                <w:szCs w:val="24"/>
                <w:rtl w:val="0"/>
              </w:rPr>
              <w:t xml:space="preserve">means, together, the:</w:t>
            </w:r>
          </w:p>
          <w:p w:rsidR="00000000" w:rsidDel="00000000" w:rsidP="00000000" w:rsidRDefault="00000000" w:rsidRPr="00000000" w14:paraId="0000002A">
            <w:pPr>
              <w:tabs>
                <w:tab w:val="left" w:pos="-9"/>
              </w:tabs>
              <w:spacing w:after="200" w:before="100" w:lineRule="auto"/>
              <w:ind w:left="0" w:firstLine="0"/>
              <w:jc w:val="left"/>
              <w:rPr>
                <w:sz w:val="24"/>
                <w:szCs w:val="24"/>
              </w:rPr>
            </w:pPr>
            <w:r w:rsidDel="00000000" w:rsidR="00000000" w:rsidRPr="00000000">
              <w:rPr>
                <w:sz w:val="24"/>
                <w:szCs w:val="24"/>
                <w:rtl w:val="0"/>
              </w:rPr>
              <w:t xml:space="preserve">Group Structure Information and Resolution Commentary; and</w:t>
            </w:r>
          </w:p>
          <w:p w:rsidR="00000000" w:rsidDel="00000000" w:rsidP="00000000" w:rsidRDefault="00000000" w:rsidRPr="00000000" w14:paraId="0000002B">
            <w:pPr>
              <w:tabs>
                <w:tab w:val="left" w:pos="-9"/>
              </w:tabs>
              <w:spacing w:after="200" w:before="100" w:lineRule="auto"/>
              <w:ind w:left="0" w:firstLine="0"/>
              <w:jc w:val="left"/>
              <w:rPr>
                <w:sz w:val="24"/>
                <w:szCs w:val="24"/>
              </w:rPr>
            </w:pPr>
            <w:r w:rsidDel="00000000" w:rsidR="00000000" w:rsidRPr="00000000">
              <w:rPr>
                <w:sz w:val="24"/>
                <w:szCs w:val="24"/>
                <w:rtl w:val="0"/>
              </w:rPr>
              <w:t xml:space="preserve">UK Public Sector and CNI Contract Information;</w:t>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“Dependent Parent Undertaking”</w:t>
            </w:r>
          </w:p>
        </w:tc>
        <w:tc>
          <w:tcPr/>
          <w:p w:rsidR="00000000" w:rsidDel="00000000" w:rsidP="00000000" w:rsidRDefault="00000000" w:rsidRPr="00000000" w14:paraId="0000002D">
            <w:pPr>
              <w:tabs>
                <w:tab w:val="left" w:pos="-9"/>
              </w:tabs>
              <w:spacing w:after="200" w:before="100" w:lineRule="auto"/>
              <w:ind w:left="0" w:firstLine="0"/>
              <w:jc w:val="left"/>
              <w:rPr>
                <w:sz w:val="24"/>
                <w:szCs w:val="24"/>
              </w:rPr>
            </w:pPr>
            <w:r w:rsidDel="00000000" w:rsidR="00000000" w:rsidRPr="00000000">
              <w:rPr>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Deliverables"</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color w:val="000000"/>
                <w:sz w:val="24"/>
                <w:szCs w:val="24"/>
              </w:rPr>
            </w:pPr>
            <w:r w:rsidDel="00000000" w:rsidR="00000000" w:rsidRPr="00000000">
              <w:rPr>
                <w:color w:val="000000"/>
                <w:sz w:val="24"/>
                <w:szCs w:val="24"/>
                <w:rtl w:val="0"/>
              </w:rPr>
              <w:t xml:space="preserve">the Deliverables embodied in the processes and procedures for restoring the provision of Deliverables following the occurrence of a Disaster;</w:t>
            </w:r>
          </w:p>
        </w:tc>
      </w:tr>
      <w:tr>
        <w:trPr>
          <w:cantSplit w:val="0"/>
          <w:trHeight w:val="6671" w:hRule="atLeast"/>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Plan"</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System"</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“Parent Undertaking”</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pos="-9"/>
              </w:tabs>
              <w:spacing w:after="120" w:lineRule="auto"/>
              <w:ind w:left="170" w:hanging="170"/>
              <w:jc w:val="left"/>
              <w:rPr>
                <w:sz w:val="24"/>
                <w:szCs w:val="24"/>
              </w:rPr>
            </w:pPr>
            <w:r w:rsidDel="00000000" w:rsidR="00000000" w:rsidRPr="00000000">
              <w:rPr>
                <w:sz w:val="24"/>
                <w:szCs w:val="24"/>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“Public Sector Dependent Supplier”</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9"/>
              </w:tabs>
              <w:spacing w:after="120" w:lineRule="auto"/>
              <w:ind w:left="170" w:hanging="170"/>
              <w:jc w:val="left"/>
              <w:rPr>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"Related Supplier"</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"Review Report"</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41">
            <w:pPr>
              <w:tabs>
                <w:tab w:val="left" w:pos="-9"/>
              </w:tabs>
              <w:spacing w:before="240" w:lineRule="auto"/>
              <w:ind w:left="0" w:firstLine="0"/>
              <w:jc w:val="left"/>
              <w:rPr>
                <w:sz w:val="24"/>
                <w:szCs w:val="24"/>
              </w:rPr>
            </w:pPr>
            <w:r w:rsidDel="00000000" w:rsidR="00000000" w:rsidRPr="00000000">
              <w:rPr>
                <w:sz w:val="24"/>
                <w:szCs w:val="24"/>
                <w:rtl w:val="0"/>
              </w:rPr>
              <w:t xml:space="preserve">means those suppliers to government listed at</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9"/>
              </w:tabs>
              <w:spacing w:after="120" w:lineRule="auto"/>
              <w:ind w:left="170" w:hanging="170"/>
              <w:jc w:val="left"/>
              <w:rPr>
                <w:sz w:val="24"/>
                <w:szCs w:val="24"/>
              </w:rPr>
            </w:pPr>
            <w:r w:rsidDel="00000000" w:rsidR="00000000" w:rsidRPr="00000000">
              <w:rPr>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“Subsidiary Undertaking”</w:t>
            </w:r>
          </w:p>
        </w:tc>
        <w:tc>
          <w:tcPr/>
          <w:p w:rsidR="00000000" w:rsidDel="00000000" w:rsidP="00000000" w:rsidRDefault="00000000" w:rsidRPr="00000000" w14:paraId="00000044">
            <w:pPr>
              <w:tabs>
                <w:tab w:val="left" w:pos="-9"/>
              </w:tabs>
              <w:spacing w:before="240" w:lineRule="auto"/>
              <w:ind w:left="0" w:firstLine="0"/>
              <w:jc w:val="left"/>
              <w:rPr>
                <w:sz w:val="24"/>
                <w:szCs w:val="24"/>
              </w:rPr>
            </w:pPr>
            <w:r w:rsidDel="00000000" w:rsidR="00000000" w:rsidRPr="00000000">
              <w:rPr>
                <w:sz w:val="24"/>
                <w:szCs w:val="24"/>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“Supplier Group”</w:t>
            </w:r>
          </w:p>
        </w:tc>
        <w:tc>
          <w:tcPr/>
          <w:p w:rsidR="00000000" w:rsidDel="00000000" w:rsidP="00000000" w:rsidRDefault="00000000" w:rsidRPr="00000000" w14:paraId="00000046">
            <w:pPr>
              <w:tabs>
                <w:tab w:val="left" w:pos="-9"/>
              </w:tabs>
              <w:spacing w:before="240" w:lineRule="auto"/>
              <w:ind w:left="0" w:firstLine="0"/>
              <w:jc w:val="left"/>
              <w:rPr>
                <w:sz w:val="24"/>
                <w:szCs w:val="24"/>
              </w:rPr>
            </w:pPr>
            <w:r w:rsidDel="00000000" w:rsidR="00000000" w:rsidRPr="00000000">
              <w:rPr>
                <w:sz w:val="24"/>
                <w:szCs w:val="24"/>
                <w:rtl w:val="0"/>
              </w:rPr>
              <w:t xml:space="preserve">means the Supplier, its Dependent Parent Undertakings and all Subsidiary Undertakings and Associates of such Dependent Parent Undertakings;</w:t>
            </w:r>
          </w:p>
        </w:tc>
      </w:tr>
      <w:tr>
        <w:trPr>
          <w:cantSplit w:val="0"/>
          <w:tblHeader w:val="0"/>
        </w:trPr>
        <w:tc>
          <w:tcPr/>
          <w:p w:rsidR="00000000" w:rsidDel="00000000" w:rsidP="00000000" w:rsidRDefault="00000000" w:rsidRPr="00000000" w14:paraId="00000047">
            <w:pPr>
              <w:spacing w:after="120" w:lineRule="auto"/>
              <w:ind w:left="-108" w:firstLine="0"/>
              <w:jc w:val="left"/>
              <w:rPr>
                <w:b w:val="1"/>
                <w:sz w:val="24"/>
                <w:szCs w:val="24"/>
              </w:rPr>
            </w:pPr>
            <w:r w:rsidDel="00000000" w:rsidR="00000000" w:rsidRPr="00000000">
              <w:rPr>
                <w:b w:val="1"/>
                <w:sz w:val="24"/>
                <w:szCs w:val="24"/>
                <w:rtl w:val="0"/>
              </w:rPr>
              <w:t xml:space="preserve">"Supplier's Proposals"</w:t>
            </w:r>
          </w:p>
        </w:tc>
        <w:tc>
          <w:tcPr/>
          <w:p w:rsidR="00000000" w:rsidDel="00000000" w:rsidP="00000000" w:rsidRDefault="00000000" w:rsidRPr="00000000" w14:paraId="00000048">
            <w:pPr>
              <w:tabs>
                <w:tab w:val="left" w:pos="-9"/>
              </w:tabs>
              <w:spacing w:after="120" w:before="240" w:lineRule="auto"/>
              <w:ind w:left="0" w:firstLine="0"/>
              <w:jc w:val="left"/>
              <w:rPr>
                <w:sz w:val="24"/>
                <w:szCs w:val="24"/>
              </w:rPr>
            </w:pPr>
            <w:r w:rsidDel="00000000" w:rsidR="00000000" w:rsidRPr="00000000">
              <w:rPr>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49">
            <w:pPr>
              <w:spacing w:after="120" w:lineRule="auto"/>
              <w:ind w:left="-108" w:firstLine="0"/>
              <w:jc w:val="left"/>
              <w:rPr>
                <w:b w:val="1"/>
                <w:sz w:val="24"/>
                <w:szCs w:val="24"/>
              </w:rPr>
            </w:pPr>
            <w:r w:rsidDel="00000000" w:rsidR="00000000" w:rsidRPr="00000000">
              <w:rPr>
                <w:b w:val="1"/>
                <w:sz w:val="24"/>
                <w:szCs w:val="24"/>
                <w:rtl w:val="0"/>
              </w:rPr>
              <w:t xml:space="preserve">“UK Public Sector Business”</w:t>
            </w:r>
          </w:p>
        </w:tc>
        <w:tc>
          <w:tcPr/>
          <w:p w:rsidR="00000000" w:rsidDel="00000000" w:rsidP="00000000" w:rsidRDefault="00000000" w:rsidRPr="00000000" w14:paraId="0000004A">
            <w:pPr>
              <w:tabs>
                <w:tab w:val="left" w:pos="-9"/>
              </w:tabs>
              <w:spacing w:after="120" w:before="240" w:lineRule="auto"/>
              <w:ind w:left="0" w:firstLine="0"/>
              <w:jc w:val="left"/>
              <w:rPr>
                <w:sz w:val="24"/>
                <w:szCs w:val="24"/>
              </w:rPr>
            </w:pPr>
            <w:r w:rsidDel="00000000" w:rsidR="00000000" w:rsidRPr="00000000">
              <w:rPr>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4B">
            <w:pPr>
              <w:spacing w:after="120" w:lineRule="auto"/>
              <w:ind w:left="-108" w:firstLine="0"/>
              <w:jc w:val="left"/>
              <w:rPr>
                <w:b w:val="1"/>
                <w:sz w:val="24"/>
                <w:szCs w:val="24"/>
              </w:rPr>
            </w:pPr>
            <w:r w:rsidDel="00000000" w:rsidR="00000000" w:rsidRPr="00000000">
              <w:rPr>
                <w:b w:val="1"/>
                <w:sz w:val="24"/>
                <w:szCs w:val="24"/>
                <w:rtl w:val="0"/>
              </w:rPr>
              <w:t xml:space="preserve">“UK Public Sector / CNI Contract Information”</w:t>
            </w:r>
          </w:p>
        </w:tc>
        <w:tc>
          <w:tcPr/>
          <w:p w:rsidR="00000000" w:rsidDel="00000000" w:rsidP="00000000" w:rsidRDefault="00000000" w:rsidRPr="00000000" w14:paraId="0000004C">
            <w:pPr>
              <w:tabs>
                <w:tab w:val="left" w:pos="-9"/>
              </w:tabs>
              <w:spacing w:after="120" w:before="240" w:lineRule="auto"/>
              <w:ind w:left="0" w:firstLine="0"/>
              <w:jc w:val="left"/>
              <w:rPr>
                <w:sz w:val="24"/>
                <w:szCs w:val="24"/>
              </w:rPr>
            </w:pPr>
            <w:r w:rsidDel="00000000" w:rsidR="00000000" w:rsidRPr="00000000">
              <w:rPr>
                <w:sz w:val="24"/>
                <w:szCs w:val="24"/>
                <w:rtl w:val="0"/>
              </w:rPr>
              <w:t xml:space="preserve">means the information relating to the Supplier Group to be provided by the Supplier in accordance with Paragraphs 2 to 4 and Appendix 2 of Part B;</w:t>
            </w:r>
          </w:p>
        </w:tc>
      </w:tr>
    </w:tbl>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tabs>
          <w:tab w:val="left" w:pos="0"/>
        </w:tabs>
        <w:spacing w:before="240" w:lineRule="auto"/>
        <w:ind w:left="0" w:firstLine="0"/>
        <w:jc w:val="left"/>
        <w:rPr>
          <w:rFonts w:ascii="Arial Bold" w:cs="Arial Bold" w:eastAsia="Arial Bold" w:hAnsi="Arial Bold"/>
          <w:b w:val="1"/>
          <w:sz w:val="26"/>
          <w:szCs w:val="26"/>
        </w:rPr>
      </w:pPr>
      <w:r w:rsidDel="00000000" w:rsidR="00000000" w:rsidRPr="00000000">
        <w:rPr>
          <w:rFonts w:ascii="Arial Bold" w:cs="Arial Bold" w:eastAsia="Arial Bold" w:hAnsi="Arial Bold"/>
          <w:b w:val="1"/>
          <w:sz w:val="26"/>
          <w:szCs w:val="26"/>
          <w:rtl w:val="0"/>
        </w:rPr>
        <w:t xml:space="preserve">Part A: BCDR Plan</w:t>
      </w:r>
    </w:p>
    <w:p w:rsidR="00000000" w:rsidDel="00000000" w:rsidP="00000000" w:rsidRDefault="00000000" w:rsidRPr="00000000" w14:paraId="0000004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3">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w:t>
      </w:r>
      <w:r w:rsidDel="00000000" w:rsidR="00000000" w:rsidRPr="00000000">
        <w:rPr>
          <w:sz w:val="24"/>
          <w:szCs w:val="24"/>
          <w:rtl w:val="0"/>
        </w:rPr>
        <w:t xml:space="preserve"> four</w:t>
      </w:r>
      <w:r w:rsidDel="00000000" w:rsidR="00000000" w:rsidRPr="00000000">
        <w:rPr>
          <w:color w:val="000000"/>
          <w:sz w:val="24"/>
          <w:szCs w:val="24"/>
          <w:rtl w:val="0"/>
        </w:rPr>
        <w:t xml:space="preserve"> sections:</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w:t>
      </w:r>
    </w:p>
    <w:p w:rsidR="00000000" w:rsidDel="00000000" w:rsidP="00000000" w:rsidRDefault="00000000" w:rsidRPr="00000000" w14:paraId="00000057">
      <w:pPr>
        <w:numPr>
          <w:ilvl w:val="2"/>
          <w:numId w:val="2"/>
        </w:numPr>
        <w:tabs>
          <w:tab w:val="left" w:pos="1985"/>
          <w:tab w:val="left" w:pos="2127"/>
        </w:tabs>
        <w:spacing w:after="120" w:before="120" w:lineRule="auto"/>
        <w:ind w:left="1440" w:hanging="720"/>
        <w:jc w:val="left"/>
        <w:rPr>
          <w:sz w:val="24"/>
          <w:szCs w:val="24"/>
        </w:rPr>
      </w:pPr>
      <w:bookmarkStart w:colFirst="0" w:colLast="0" w:name="_heading=h.vngm61gvrxhy" w:id="6"/>
      <w:bookmarkEnd w:id="6"/>
      <w:r w:rsidDel="00000000" w:rsidR="00000000" w:rsidRPr="00000000">
        <w:rPr>
          <w:sz w:val="24"/>
          <w:szCs w:val="24"/>
          <w:rtl w:val="0"/>
        </w:rPr>
        <w:t xml:space="preserve">1.1.1</w:t>
      </w:r>
      <w:r w:rsidDel="00000000" w:rsidR="00000000" w:rsidRPr="00000000">
        <w:rPr>
          <w:sz w:val="14"/>
          <w:szCs w:val="14"/>
          <w:rtl w:val="0"/>
        </w:rPr>
        <w:t xml:space="preserve">     </w:t>
      </w:r>
      <w:r w:rsidDel="00000000" w:rsidR="00000000" w:rsidRPr="00000000">
        <w:rPr>
          <w:sz w:val="24"/>
          <w:szCs w:val="24"/>
          <w:rtl w:val="0"/>
        </w:rPr>
        <w:t xml:space="preserve">Section 4 which shall relate to an Insolvency Event of the Supplier, and Key-Subcontractors and/or any Supplier Group member (the “</w:t>
      </w:r>
      <w:r w:rsidDel="00000000" w:rsidR="00000000" w:rsidRPr="00000000">
        <w:rPr>
          <w:b w:val="1"/>
          <w:sz w:val="24"/>
          <w:szCs w:val="24"/>
          <w:rtl w:val="0"/>
        </w:rPr>
        <w:t xml:space="preserve">Insolvency Continuity Plan</w:t>
      </w:r>
      <w:r w:rsidDel="00000000" w:rsidR="00000000" w:rsidRPr="00000000">
        <w:rPr>
          <w:sz w:val="24"/>
          <w:szCs w:val="24"/>
          <w:rtl w:val="0"/>
        </w:rPr>
        <w:t xml:space="preserve">”). </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8"/>
      <w:bookmarkEnd w:id="8"/>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A">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0">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1">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 and</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B">
      <w:pPr>
        <w:numPr>
          <w:ilvl w:val="2"/>
          <w:numId w:val="2"/>
        </w:numPr>
        <w:tabs>
          <w:tab w:val="left" w:pos="1985"/>
          <w:tab w:val="left" w:pos="2127"/>
        </w:tabs>
        <w:spacing w:after="120" w:before="120" w:lineRule="auto"/>
        <w:ind w:left="1440" w:hanging="720"/>
        <w:jc w:val="left"/>
        <w:rPr>
          <w:sz w:val="24"/>
          <w:szCs w:val="24"/>
        </w:rPr>
      </w:pPr>
      <w:r w:rsidDel="00000000" w:rsidR="00000000" w:rsidRPr="00000000">
        <w:rPr>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C">
      <w:pPr>
        <w:numPr>
          <w:ilvl w:val="2"/>
          <w:numId w:val="2"/>
        </w:numPr>
        <w:tabs>
          <w:tab w:val="left" w:pos="1985"/>
          <w:tab w:val="left" w:pos="2127"/>
        </w:tabs>
        <w:spacing w:after="120" w:before="120" w:lineRule="auto"/>
        <w:ind w:left="1440" w:hanging="720"/>
        <w:jc w:val="left"/>
        <w:rPr>
          <w:sz w:val="24"/>
          <w:szCs w:val="24"/>
        </w:rPr>
      </w:pPr>
      <w:r w:rsidDel="00000000" w:rsidR="00000000" w:rsidRPr="00000000">
        <w:rPr>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D">
      <w:pPr>
        <w:numPr>
          <w:ilvl w:val="2"/>
          <w:numId w:val="2"/>
        </w:numPr>
        <w:tabs>
          <w:tab w:val="left" w:pos="1985"/>
          <w:tab w:val="left" w:pos="2127"/>
        </w:tabs>
        <w:spacing w:after="120" w:before="120" w:lineRule="auto"/>
        <w:ind w:left="1440" w:hanging="720"/>
        <w:jc w:val="left"/>
        <w:rPr>
          <w:sz w:val="24"/>
          <w:szCs w:val="24"/>
        </w:rPr>
      </w:pPr>
      <w:r w:rsidDel="00000000" w:rsidR="00000000" w:rsidRPr="00000000">
        <w:rPr>
          <w:sz w:val="14"/>
          <w:szCs w:val="14"/>
          <w:rtl w:val="0"/>
        </w:rPr>
        <w:t xml:space="preserve">  </w:t>
      </w:r>
      <w:r w:rsidDel="00000000" w:rsidR="00000000" w:rsidRPr="00000000">
        <w:rPr>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E">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9"/>
      <w:bookmarkEnd w:id="9"/>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9">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s8eyo1" w:id="10"/>
      <w:bookmarkEnd w:id="10"/>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1"/>
      <w:bookmarkEnd w:id="11"/>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0">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985"/>
          <w:tab w:val="left" w:pos="2127"/>
        </w:tabs>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pos="1985"/>
          <w:tab w:val="left" w:pos="2127"/>
        </w:tabs>
        <w:spacing w:after="120" w:before="120" w:lineRule="auto"/>
        <w:ind w:left="0" w:firstLine="0"/>
        <w:jc w:val="left"/>
        <w:rPr>
          <w:b w:val="1"/>
          <w:sz w:val="24"/>
          <w:szCs w:val="24"/>
        </w:rPr>
      </w:pPr>
      <w:r w:rsidDel="00000000" w:rsidR="00000000" w:rsidRPr="00000000">
        <w:rPr>
          <w:rtl w:val="0"/>
        </w:rPr>
        <w:t xml:space="preserve">     </w:t>
      </w:r>
      <w:r w:rsidDel="00000000" w:rsidR="00000000" w:rsidRPr="00000000">
        <w:rPr>
          <w:rFonts w:ascii="Arial Bold" w:cs="Arial Bold" w:eastAsia="Arial Bold" w:hAnsi="Arial Bold"/>
          <w:b w:val="1"/>
          <w:sz w:val="24"/>
          <w:szCs w:val="24"/>
          <w:rtl w:val="0"/>
        </w:rPr>
        <w:t xml:space="preserve">6. Insolvency Continuity Plan (Section 4)</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pos="1985"/>
          <w:tab w:val="left" w:pos="2127"/>
        </w:tabs>
        <w:spacing w:after="120" w:before="120" w:lineRule="auto"/>
        <w:ind w:left="567" w:hanging="567"/>
        <w:jc w:val="left"/>
        <w:rPr>
          <w:sz w:val="24"/>
          <w:szCs w:val="24"/>
        </w:rPr>
      </w:pPr>
      <w:r w:rsidDel="00000000" w:rsidR="00000000" w:rsidRPr="00000000">
        <w:rPr>
          <w:sz w:val="14"/>
          <w:szCs w:val="14"/>
          <w:rtl w:val="0"/>
        </w:rPr>
        <w:t xml:space="preserve">              </w:t>
      </w: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r w:rsidDel="00000000" w:rsidR="00000000" w:rsidRPr="00000000">
        <w:rPr>
          <w:rtl w:val="0"/>
        </w:rPr>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whwml4" w:id="12"/>
      <w:bookmarkEnd w:id="12"/>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3"/>
      <w:bookmarkEnd w:id="13"/>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14"/>
      <w:bookmarkEnd w:id="14"/>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15"/>
      <w:bookmarkEnd w:id="15"/>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9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5nkun2" w:id="16"/>
      <w:bookmarkEnd w:id="16"/>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7"/>
      <w:bookmarkEnd w:id="17"/>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8"/>
      <w:bookmarkEnd w:id="18"/>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19"/>
      <w:bookmarkEnd w:id="19"/>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0"/>
      <w:bookmarkEnd w:id="20"/>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2">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1"/>
      <w:bookmarkEnd w:id="21"/>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2"/>
      <w:bookmarkEnd w:id="22"/>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3"/>
      <w:bookmarkEnd w:id="23"/>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4"/>
      <w:bookmarkEnd w:id="24"/>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1"/>
        </w:numPr>
        <w:spacing w:after="120" w:before="120" w:lineRule="auto"/>
        <w:ind w:left="720" w:hanging="720"/>
        <w:jc w:val="left"/>
        <w:rPr>
          <w:sz w:val="24"/>
          <w:szCs w:val="24"/>
        </w:rPr>
      </w:pPr>
      <w:r w:rsidDel="00000000" w:rsidR="00000000" w:rsidRPr="00000000">
        <w:rPr>
          <w:sz w:val="24"/>
          <w:szCs w:val="24"/>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1"/>
        </w:numPr>
        <w:spacing w:after="120" w:before="120" w:lineRule="auto"/>
        <w:ind w:left="1440" w:hanging="720"/>
        <w:jc w:val="left"/>
        <w:rPr>
          <w:sz w:val="24"/>
          <w:szCs w:val="24"/>
        </w:rPr>
      </w:pPr>
      <w:r w:rsidDel="00000000" w:rsidR="00000000" w:rsidRPr="00000000">
        <w:rPr>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1"/>
        </w:numPr>
        <w:spacing w:after="120" w:before="120" w:lineRule="auto"/>
        <w:ind w:left="1440" w:hanging="720"/>
        <w:jc w:val="left"/>
        <w:rPr>
          <w:sz w:val="24"/>
          <w:szCs w:val="24"/>
        </w:rPr>
      </w:pPr>
      <w:r w:rsidDel="00000000" w:rsidR="00000000" w:rsidRPr="00000000">
        <w:rPr>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rPr>
          <w:rFonts w:ascii="Arial Bold" w:cs="Arial Bold" w:eastAsia="Arial Bold" w:hAnsi="Arial Bold"/>
          <w:b w:val="1"/>
          <w:smallCaps w:val="1"/>
          <w:color w:val="000000"/>
          <w:sz w:val="24"/>
          <w:szCs w:val="24"/>
        </w:rPr>
      </w:pPr>
      <w:r w:rsidDel="00000000" w:rsidR="00000000" w:rsidRPr="00000000">
        <w:rPr>
          <w:rFonts w:ascii="Times New Roman" w:cs="Times New Roman" w:eastAsia="Times New Roman" w:hAnsi="Times New Roman"/>
          <w:b w:val="1"/>
          <w:smallCaps w:val="1"/>
          <w:color w:val="000000"/>
          <w:sz w:val="14"/>
          <w:szCs w:val="14"/>
          <w:rtl w:val="0"/>
        </w:rPr>
        <w:t xml:space="preserve"> </w:t>
      </w: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r w:rsidDel="00000000" w:rsidR="00000000" w:rsidRPr="00000000">
        <w:rPr>
          <w:rtl w:val="0"/>
        </w:rPr>
      </w:r>
    </w:p>
    <w:p w:rsidR="00000000" w:rsidDel="00000000" w:rsidP="00000000" w:rsidRDefault="00000000" w:rsidRPr="00000000" w14:paraId="000000B6">
      <w:pPr>
        <w:numPr>
          <w:ilvl w:val="1"/>
          <w:numId w:val="1"/>
        </w:numPr>
        <w:spacing w:before="240" w:lineRule="auto"/>
        <w:ind w:left="720" w:hanging="720"/>
        <w:jc w:val="left"/>
        <w:rPr>
          <w:sz w:val="24"/>
          <w:szCs w:val="24"/>
        </w:rPr>
      </w:pPr>
      <w:r w:rsidDel="00000000" w:rsidR="00000000" w:rsidRPr="00000000">
        <w:rPr>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numPr>
          <w:ilvl w:val="2"/>
          <w:numId w:val="1"/>
        </w:numPr>
        <w:spacing w:before="240" w:lineRule="auto"/>
        <w:ind w:left="1440" w:hanging="720"/>
        <w:jc w:val="left"/>
        <w:rPr>
          <w:sz w:val="24"/>
          <w:szCs w:val="24"/>
        </w:rPr>
      </w:pPr>
      <w:r w:rsidDel="00000000" w:rsidR="00000000" w:rsidRPr="00000000">
        <w:rPr>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numPr>
          <w:ilvl w:val="2"/>
          <w:numId w:val="1"/>
        </w:numPr>
        <w:spacing w:before="240" w:lineRule="auto"/>
        <w:ind w:left="1440" w:hanging="720"/>
        <w:jc w:val="left"/>
        <w:rPr>
          <w:sz w:val="24"/>
          <w:szCs w:val="24"/>
        </w:rPr>
      </w:pPr>
      <w:r w:rsidDel="00000000" w:rsidR="00000000" w:rsidRPr="00000000">
        <w:rPr>
          <w:sz w:val="24"/>
          <w:szCs w:val="24"/>
          <w:rtl w:val="0"/>
        </w:rPr>
        <w:t xml:space="preserve">Paragraphs 2.1.13 to 2.1.15 of Part A, inclusive;</w:t>
      </w:r>
    </w:p>
    <w:p w:rsidR="00000000" w:rsidDel="00000000" w:rsidP="00000000" w:rsidRDefault="00000000" w:rsidRPr="00000000" w14:paraId="000000B9">
      <w:pPr>
        <w:numPr>
          <w:ilvl w:val="2"/>
          <w:numId w:val="1"/>
        </w:numPr>
        <w:spacing w:before="240" w:lineRule="auto"/>
        <w:ind w:left="1440" w:hanging="720"/>
        <w:jc w:val="left"/>
        <w:rPr>
          <w:sz w:val="24"/>
          <w:szCs w:val="24"/>
        </w:rPr>
      </w:pPr>
      <w:r w:rsidDel="00000000" w:rsidR="00000000" w:rsidRPr="00000000">
        <w:rPr>
          <w:sz w:val="24"/>
          <w:szCs w:val="24"/>
          <w:rtl w:val="0"/>
        </w:rPr>
        <w:t xml:space="preserve">Paragraph 5 (Insolvency Continuity Plan) of Part A;</w:t>
      </w:r>
    </w:p>
    <w:p w:rsidR="00000000" w:rsidDel="00000000" w:rsidP="00000000" w:rsidRDefault="00000000" w:rsidRPr="00000000" w14:paraId="000000BA">
      <w:pPr>
        <w:numPr>
          <w:ilvl w:val="2"/>
          <w:numId w:val="1"/>
        </w:numPr>
        <w:spacing w:before="240" w:lineRule="auto"/>
        <w:ind w:left="1440" w:hanging="720"/>
        <w:jc w:val="left"/>
        <w:rPr>
          <w:sz w:val="24"/>
          <w:szCs w:val="24"/>
        </w:rPr>
      </w:pPr>
      <w:r w:rsidDel="00000000" w:rsidR="00000000" w:rsidRPr="00000000">
        <w:rPr>
          <w:sz w:val="24"/>
          <w:szCs w:val="24"/>
          <w:rtl w:val="0"/>
        </w:rPr>
        <w:t xml:space="preserve">Paragraph 8.2 of Part A; and</w:t>
      </w:r>
    </w:p>
    <w:p w:rsidR="00000000" w:rsidDel="00000000" w:rsidP="00000000" w:rsidRDefault="00000000" w:rsidRPr="00000000" w14:paraId="000000BB">
      <w:pPr>
        <w:numPr>
          <w:ilvl w:val="2"/>
          <w:numId w:val="1"/>
        </w:numPr>
        <w:spacing w:before="240" w:lineRule="auto"/>
        <w:ind w:left="1440" w:hanging="720"/>
        <w:jc w:val="left"/>
        <w:rPr>
          <w:sz w:val="24"/>
          <w:szCs w:val="24"/>
        </w:rPr>
      </w:pPr>
      <w:r w:rsidDel="00000000" w:rsidR="00000000" w:rsidRPr="00000000">
        <w:rPr>
          <w:sz w:val="24"/>
          <w:szCs w:val="24"/>
          <w:rtl w:val="0"/>
        </w:rPr>
        <w:t xml:space="preserve">The entirety of Part B of this Schedule.</w:t>
      </w:r>
    </w:p>
    <w:p w:rsidR="00000000" w:rsidDel="00000000" w:rsidP="00000000" w:rsidRDefault="00000000" w:rsidRPr="00000000" w14:paraId="000000BC">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 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numPr>
          <w:ilvl w:val="2"/>
          <w:numId w:val="1"/>
        </w:numPr>
        <w:spacing w:before="240" w:lineRule="auto"/>
        <w:ind w:left="1440" w:hanging="720"/>
        <w:jc w:val="left"/>
        <w:rPr>
          <w:sz w:val="24"/>
          <w:szCs w:val="24"/>
        </w:rPr>
      </w:pPr>
      <w:r w:rsidDel="00000000" w:rsidR="00000000" w:rsidRPr="00000000">
        <w:rPr>
          <w:sz w:val="24"/>
          <w:szCs w:val="24"/>
          <w:rtl w:val="0"/>
        </w:rPr>
        <w:t xml:space="preserve">Annual Review;</w:t>
      </w:r>
    </w:p>
    <w:p w:rsidR="00000000" w:rsidDel="00000000" w:rsidP="00000000" w:rsidRDefault="00000000" w:rsidRPr="00000000" w14:paraId="000000BE">
      <w:pPr>
        <w:numPr>
          <w:ilvl w:val="2"/>
          <w:numId w:val="1"/>
        </w:numPr>
        <w:spacing w:before="240" w:lineRule="auto"/>
        <w:ind w:left="1440" w:hanging="720"/>
        <w:jc w:val="left"/>
        <w:rPr>
          <w:sz w:val="24"/>
          <w:szCs w:val="24"/>
        </w:rPr>
      </w:pPr>
      <w:r w:rsidDel="00000000" w:rsidR="00000000" w:rsidRPr="00000000">
        <w:rPr>
          <w:sz w:val="24"/>
          <w:szCs w:val="24"/>
          <w:rtl w:val="0"/>
        </w:rPr>
        <w:t xml:space="preserve">Appropriate Authority or Appropriate Authorities;</w:t>
      </w:r>
    </w:p>
    <w:p w:rsidR="00000000" w:rsidDel="00000000" w:rsidP="00000000" w:rsidRDefault="00000000" w:rsidRPr="00000000" w14:paraId="000000BF">
      <w:pPr>
        <w:numPr>
          <w:ilvl w:val="2"/>
          <w:numId w:val="1"/>
        </w:numPr>
        <w:spacing w:before="240" w:lineRule="auto"/>
        <w:ind w:left="1440" w:hanging="720"/>
        <w:jc w:val="left"/>
        <w:rPr>
          <w:sz w:val="24"/>
          <w:szCs w:val="24"/>
        </w:rPr>
      </w:pPr>
      <w:r w:rsidDel="00000000" w:rsidR="00000000" w:rsidRPr="00000000">
        <w:rPr>
          <w:sz w:val="24"/>
          <w:szCs w:val="24"/>
          <w:rtl w:val="0"/>
        </w:rPr>
        <w:t xml:space="preserve">Associates;</w:t>
      </w:r>
    </w:p>
    <w:p w:rsidR="00000000" w:rsidDel="00000000" w:rsidP="00000000" w:rsidRDefault="00000000" w:rsidRPr="00000000" w14:paraId="000000C0">
      <w:pPr>
        <w:numPr>
          <w:ilvl w:val="2"/>
          <w:numId w:val="1"/>
        </w:numPr>
        <w:spacing w:before="240" w:lineRule="auto"/>
        <w:ind w:left="1440" w:hanging="720"/>
        <w:jc w:val="left"/>
        <w:rPr>
          <w:sz w:val="24"/>
          <w:szCs w:val="24"/>
        </w:rPr>
      </w:pPr>
      <w:r w:rsidDel="00000000" w:rsidR="00000000" w:rsidRPr="00000000">
        <w:rPr>
          <w:sz w:val="24"/>
          <w:szCs w:val="24"/>
          <w:rtl w:val="0"/>
        </w:rPr>
        <w:t xml:space="preserve">Class 1 Transaction;</w:t>
      </w:r>
    </w:p>
    <w:p w:rsidR="00000000" w:rsidDel="00000000" w:rsidP="00000000" w:rsidRDefault="00000000" w:rsidRPr="00000000" w14:paraId="000000C1">
      <w:pPr>
        <w:numPr>
          <w:ilvl w:val="2"/>
          <w:numId w:val="1"/>
        </w:numPr>
        <w:spacing w:before="240" w:lineRule="auto"/>
        <w:ind w:left="1440" w:hanging="720"/>
        <w:jc w:val="left"/>
        <w:rPr>
          <w:sz w:val="24"/>
          <w:szCs w:val="24"/>
        </w:rPr>
      </w:pPr>
      <w:r w:rsidDel="00000000" w:rsidR="00000000" w:rsidRPr="00000000">
        <w:rPr>
          <w:sz w:val="24"/>
          <w:szCs w:val="24"/>
          <w:rtl w:val="0"/>
        </w:rPr>
        <w:t xml:space="preserve">Control;</w:t>
      </w:r>
    </w:p>
    <w:p w:rsidR="00000000" w:rsidDel="00000000" w:rsidP="00000000" w:rsidRDefault="00000000" w:rsidRPr="00000000" w14:paraId="000000C2">
      <w:pPr>
        <w:numPr>
          <w:ilvl w:val="2"/>
          <w:numId w:val="1"/>
        </w:numPr>
        <w:spacing w:before="240" w:lineRule="auto"/>
        <w:ind w:left="1440" w:hanging="720"/>
        <w:jc w:val="left"/>
        <w:rPr>
          <w:sz w:val="24"/>
          <w:szCs w:val="24"/>
        </w:rPr>
      </w:pPr>
      <w:r w:rsidDel="00000000" w:rsidR="00000000" w:rsidRPr="00000000">
        <w:rPr>
          <w:sz w:val="24"/>
          <w:szCs w:val="24"/>
          <w:rtl w:val="0"/>
        </w:rPr>
        <w:t xml:space="preserve">Corporate Change Event;</w:t>
      </w:r>
    </w:p>
    <w:p w:rsidR="00000000" w:rsidDel="00000000" w:rsidP="00000000" w:rsidRDefault="00000000" w:rsidRPr="00000000" w14:paraId="000000C3">
      <w:pPr>
        <w:numPr>
          <w:ilvl w:val="2"/>
          <w:numId w:val="1"/>
        </w:numPr>
        <w:spacing w:before="240" w:lineRule="auto"/>
        <w:ind w:left="1440" w:hanging="720"/>
        <w:jc w:val="left"/>
        <w:rPr>
          <w:sz w:val="24"/>
          <w:szCs w:val="24"/>
        </w:rPr>
      </w:pPr>
      <w:r w:rsidDel="00000000" w:rsidR="00000000" w:rsidRPr="00000000">
        <w:rPr>
          <w:sz w:val="24"/>
          <w:szCs w:val="24"/>
          <w:rtl w:val="0"/>
        </w:rPr>
        <w:t xml:space="preserve">Critical National Infrastructure;</w:t>
      </w:r>
    </w:p>
    <w:p w:rsidR="00000000" w:rsidDel="00000000" w:rsidP="00000000" w:rsidRDefault="00000000" w:rsidRPr="00000000" w14:paraId="000000C4">
      <w:pPr>
        <w:numPr>
          <w:ilvl w:val="2"/>
          <w:numId w:val="1"/>
        </w:numPr>
        <w:spacing w:before="240" w:lineRule="auto"/>
        <w:ind w:left="1440" w:hanging="720"/>
        <w:jc w:val="left"/>
        <w:rPr>
          <w:sz w:val="24"/>
          <w:szCs w:val="24"/>
        </w:rPr>
      </w:pPr>
      <w:r w:rsidDel="00000000" w:rsidR="00000000" w:rsidRPr="00000000">
        <w:rPr>
          <w:sz w:val="24"/>
          <w:szCs w:val="24"/>
          <w:rtl w:val="0"/>
        </w:rPr>
        <w:t xml:space="preserve">Critical Service Contract;</w:t>
      </w:r>
    </w:p>
    <w:p w:rsidR="00000000" w:rsidDel="00000000" w:rsidP="00000000" w:rsidRDefault="00000000" w:rsidRPr="00000000" w14:paraId="000000C5">
      <w:pPr>
        <w:numPr>
          <w:ilvl w:val="2"/>
          <w:numId w:val="1"/>
        </w:numPr>
        <w:spacing w:before="240" w:lineRule="auto"/>
        <w:ind w:left="1440" w:hanging="720"/>
        <w:jc w:val="left"/>
        <w:rPr>
          <w:sz w:val="24"/>
          <w:szCs w:val="24"/>
        </w:rPr>
      </w:pPr>
      <w:bookmarkStart w:colFirst="0" w:colLast="0" w:name="_heading=h.1ci93xb" w:id="25"/>
      <w:bookmarkEnd w:id="25"/>
      <w:r w:rsidDel="00000000" w:rsidR="00000000" w:rsidRPr="00000000">
        <w:rPr>
          <w:sz w:val="24"/>
          <w:szCs w:val="24"/>
          <w:rtl w:val="0"/>
        </w:rPr>
        <w:t xml:space="preserve">CRP Information;</w:t>
      </w:r>
    </w:p>
    <w:p w:rsidR="00000000" w:rsidDel="00000000" w:rsidP="00000000" w:rsidRDefault="00000000" w:rsidRPr="00000000" w14:paraId="000000C6">
      <w:pPr>
        <w:numPr>
          <w:ilvl w:val="1"/>
          <w:numId w:val="1"/>
        </w:numPr>
        <w:spacing w:before="240" w:lineRule="auto"/>
        <w:ind w:left="720" w:hanging="720"/>
        <w:jc w:val="left"/>
        <w:rPr>
          <w:sz w:val="24"/>
          <w:szCs w:val="24"/>
        </w:rPr>
      </w:pPr>
      <w:r w:rsidDel="00000000" w:rsidR="00000000" w:rsidRPr="00000000">
        <w:rPr>
          <w:sz w:val="24"/>
          <w:szCs w:val="24"/>
          <w:rtl w:val="0"/>
        </w:rPr>
        <w:t xml:space="preserve">Dependent Parent Undertaking;</w:t>
      </w:r>
    </w:p>
    <w:p w:rsidR="00000000" w:rsidDel="00000000" w:rsidP="00000000" w:rsidRDefault="00000000" w:rsidRPr="00000000" w14:paraId="000000C7">
      <w:pPr>
        <w:numPr>
          <w:ilvl w:val="2"/>
          <w:numId w:val="1"/>
        </w:numPr>
        <w:spacing w:before="240" w:lineRule="auto"/>
        <w:ind w:left="1440" w:hanging="720"/>
        <w:jc w:val="left"/>
        <w:rPr>
          <w:sz w:val="24"/>
          <w:szCs w:val="24"/>
        </w:rPr>
      </w:pPr>
      <w:r w:rsidDel="00000000" w:rsidR="00000000" w:rsidRPr="00000000">
        <w:rPr>
          <w:sz w:val="24"/>
          <w:szCs w:val="24"/>
          <w:rtl w:val="0"/>
        </w:rPr>
        <w:t xml:space="preserve">Group Structure Information and Resolution Commentary;</w:t>
      </w:r>
    </w:p>
    <w:p w:rsidR="00000000" w:rsidDel="00000000" w:rsidP="00000000" w:rsidRDefault="00000000" w:rsidRPr="00000000" w14:paraId="000000C8">
      <w:pPr>
        <w:numPr>
          <w:ilvl w:val="2"/>
          <w:numId w:val="1"/>
        </w:numPr>
        <w:spacing w:before="240" w:lineRule="auto"/>
        <w:ind w:left="1440" w:hanging="720"/>
        <w:jc w:val="left"/>
        <w:rPr>
          <w:sz w:val="24"/>
          <w:szCs w:val="24"/>
        </w:rPr>
      </w:pPr>
      <w:r w:rsidDel="00000000" w:rsidR="00000000" w:rsidRPr="00000000">
        <w:rPr>
          <w:sz w:val="24"/>
          <w:szCs w:val="24"/>
          <w:rtl w:val="0"/>
        </w:rPr>
        <w:t xml:space="preserve">Parent Undertaking;</w:t>
      </w:r>
    </w:p>
    <w:p w:rsidR="00000000" w:rsidDel="00000000" w:rsidP="00000000" w:rsidRDefault="00000000" w:rsidRPr="00000000" w14:paraId="000000C9">
      <w:pPr>
        <w:numPr>
          <w:ilvl w:val="2"/>
          <w:numId w:val="1"/>
        </w:numPr>
        <w:spacing w:before="240" w:lineRule="auto"/>
        <w:ind w:left="1440" w:hanging="720"/>
        <w:jc w:val="left"/>
        <w:rPr>
          <w:sz w:val="24"/>
          <w:szCs w:val="24"/>
        </w:rPr>
      </w:pPr>
      <w:r w:rsidDel="00000000" w:rsidR="00000000" w:rsidRPr="00000000">
        <w:rPr>
          <w:sz w:val="24"/>
          <w:szCs w:val="24"/>
          <w:rtl w:val="0"/>
        </w:rPr>
        <w:t xml:space="preserve">Public Sector Dependent Supplier;</w:t>
      </w:r>
    </w:p>
    <w:p w:rsidR="00000000" w:rsidDel="00000000" w:rsidP="00000000" w:rsidRDefault="00000000" w:rsidRPr="00000000" w14:paraId="000000CA">
      <w:pPr>
        <w:numPr>
          <w:ilvl w:val="2"/>
          <w:numId w:val="1"/>
        </w:numPr>
        <w:spacing w:before="240" w:lineRule="auto"/>
        <w:ind w:left="1440" w:hanging="720"/>
        <w:jc w:val="left"/>
        <w:rPr>
          <w:sz w:val="24"/>
          <w:szCs w:val="24"/>
        </w:rPr>
      </w:pPr>
      <w:r w:rsidDel="00000000" w:rsidR="00000000" w:rsidRPr="00000000">
        <w:rPr>
          <w:sz w:val="24"/>
          <w:szCs w:val="24"/>
          <w:rtl w:val="0"/>
        </w:rPr>
        <w:t xml:space="preserve">Subsidiary Undertaking;</w:t>
      </w:r>
    </w:p>
    <w:p w:rsidR="00000000" w:rsidDel="00000000" w:rsidP="00000000" w:rsidRDefault="00000000" w:rsidRPr="00000000" w14:paraId="000000CB">
      <w:pPr>
        <w:numPr>
          <w:ilvl w:val="2"/>
          <w:numId w:val="1"/>
        </w:numPr>
        <w:spacing w:before="240" w:lineRule="auto"/>
        <w:ind w:left="1440" w:hanging="720"/>
        <w:jc w:val="left"/>
        <w:rPr>
          <w:sz w:val="24"/>
          <w:szCs w:val="24"/>
        </w:rPr>
      </w:pPr>
      <w:r w:rsidDel="00000000" w:rsidR="00000000" w:rsidRPr="00000000">
        <w:rPr>
          <w:sz w:val="24"/>
          <w:szCs w:val="24"/>
          <w:rtl w:val="0"/>
        </w:rPr>
        <w:t xml:space="preserve">Supplier Group;</w:t>
      </w:r>
    </w:p>
    <w:p w:rsidR="00000000" w:rsidDel="00000000" w:rsidP="00000000" w:rsidRDefault="00000000" w:rsidRPr="00000000" w14:paraId="000000CC">
      <w:pPr>
        <w:numPr>
          <w:ilvl w:val="2"/>
          <w:numId w:val="1"/>
        </w:numPr>
        <w:spacing w:before="240" w:lineRule="auto"/>
        <w:ind w:left="1440" w:hanging="720"/>
        <w:jc w:val="left"/>
        <w:rPr>
          <w:sz w:val="24"/>
          <w:szCs w:val="24"/>
        </w:rPr>
      </w:pPr>
      <w:r w:rsidDel="00000000" w:rsidR="00000000" w:rsidRPr="00000000">
        <w:rPr>
          <w:sz w:val="24"/>
          <w:szCs w:val="24"/>
          <w:rtl w:val="0"/>
        </w:rPr>
        <w:t xml:space="preserve">UK Public Sector Business; and</w:t>
      </w:r>
    </w:p>
    <w:p w:rsidR="00000000" w:rsidDel="00000000" w:rsidP="00000000" w:rsidRDefault="00000000" w:rsidRPr="00000000" w14:paraId="000000CD">
      <w:pPr>
        <w:numPr>
          <w:ilvl w:val="2"/>
          <w:numId w:val="1"/>
        </w:numPr>
        <w:spacing w:before="240" w:lineRule="auto"/>
        <w:ind w:left="1440" w:hanging="720"/>
        <w:jc w:val="left"/>
        <w:rPr>
          <w:sz w:val="24"/>
          <w:szCs w:val="24"/>
        </w:rPr>
      </w:pPr>
      <w:r w:rsidDel="00000000" w:rsidR="00000000" w:rsidRPr="00000000">
        <w:rPr>
          <w:sz w:val="24"/>
          <w:szCs w:val="24"/>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RM6265 Vehicle Hire Solutions</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D0">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D1">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D2">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6"/>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847FE9"/>
    <w:pPr>
      <w:ind w:left="720"/>
      <w:contextualSpacing w:val="1"/>
    </w:p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IoiHQXZ3AgU4coS+G8Imo/zK1A==">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2022-10-07T14:38:00Z</dcterms:created>
  <dc:creator>Liam Miller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